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71E90" w14:textId="77777777" w:rsidR="006015AA" w:rsidRPr="004E328A" w:rsidRDefault="006015AA" w:rsidP="006015AA">
      <w:pPr>
        <w:rPr>
          <w:rFonts w:ascii="Arial" w:hAnsi="Arial" w:cs="Arial"/>
        </w:rPr>
      </w:pPr>
      <w:r w:rsidRPr="004E328A">
        <w:rPr>
          <w:rFonts w:ascii="Arial" w:hAnsi="Arial" w:cs="Arial"/>
          <w:b/>
        </w:rPr>
        <w:t>IMPORTANT NOTE:</w:t>
      </w:r>
      <w:r>
        <w:rPr>
          <w:rFonts w:ascii="Arial" w:hAnsi="Arial" w:cs="Arial"/>
        </w:rPr>
        <w:t xml:space="preserve"> This information is </w:t>
      </w:r>
      <w:r w:rsidRPr="004E328A">
        <w:rPr>
          <w:rFonts w:ascii="Arial" w:hAnsi="Arial" w:cs="Arial"/>
          <w:b/>
        </w:rPr>
        <w:t>not to be released or distributed until 10 a.m. Central Time on October 14, 2015</w:t>
      </w:r>
      <w:r>
        <w:rPr>
          <w:rFonts w:ascii="Arial" w:hAnsi="Arial" w:cs="Arial"/>
        </w:rPr>
        <w:t xml:space="preserve">. A photo to accompany this story appears on page 2; please provide credit for this photo, which is listed below the image. </w:t>
      </w:r>
    </w:p>
    <w:p w14:paraId="04AC5162" w14:textId="77777777" w:rsidR="006015AA" w:rsidRDefault="006015AA">
      <w:pPr>
        <w:rPr>
          <w:rFonts w:ascii="Arial" w:hAnsi="Arial" w:cs="Arial"/>
          <w:b/>
          <w:sz w:val="32"/>
          <w:szCs w:val="32"/>
        </w:rPr>
      </w:pPr>
    </w:p>
    <w:p w14:paraId="4FCB139B" w14:textId="5D141C45" w:rsidR="00967B3E" w:rsidRDefault="00661C8A">
      <w:pPr>
        <w:rPr>
          <w:rFonts w:ascii="Arial" w:hAnsi="Arial" w:cs="Arial"/>
          <w:b/>
          <w:sz w:val="32"/>
          <w:szCs w:val="32"/>
        </w:rPr>
      </w:pPr>
      <w:r>
        <w:rPr>
          <w:rFonts w:ascii="Arial" w:hAnsi="Arial" w:cs="Arial"/>
          <w:b/>
          <w:sz w:val="32"/>
          <w:szCs w:val="32"/>
        </w:rPr>
        <w:t>Ecosystems Receive</w:t>
      </w:r>
      <w:r w:rsidR="009A3B7E">
        <w:rPr>
          <w:rFonts w:ascii="Arial" w:hAnsi="Arial" w:cs="Arial"/>
          <w:b/>
          <w:sz w:val="32"/>
          <w:szCs w:val="32"/>
        </w:rPr>
        <w:t xml:space="preserve"> </w:t>
      </w:r>
      <w:r w:rsidR="00B3215B">
        <w:rPr>
          <w:rFonts w:ascii="Arial" w:hAnsi="Arial" w:cs="Arial"/>
          <w:b/>
          <w:sz w:val="32"/>
          <w:szCs w:val="32"/>
        </w:rPr>
        <w:t xml:space="preserve">a </w:t>
      </w:r>
      <w:r w:rsidR="00132157">
        <w:rPr>
          <w:rFonts w:ascii="Arial" w:hAnsi="Arial" w:cs="Arial"/>
          <w:b/>
          <w:sz w:val="32"/>
          <w:szCs w:val="32"/>
        </w:rPr>
        <w:t>C</w:t>
      </w:r>
      <w:r w:rsidR="0036613D">
        <w:rPr>
          <w:rFonts w:ascii="Arial" w:hAnsi="Arial" w:cs="Arial"/>
          <w:b/>
          <w:sz w:val="32"/>
          <w:szCs w:val="32"/>
        </w:rPr>
        <w:t xml:space="preserve"> Grade</w:t>
      </w:r>
      <w:r w:rsidR="009A3B7E">
        <w:rPr>
          <w:rFonts w:ascii="Arial" w:hAnsi="Arial" w:cs="Arial"/>
          <w:b/>
          <w:sz w:val="32"/>
          <w:szCs w:val="32"/>
        </w:rPr>
        <w:t xml:space="preserve"> in</w:t>
      </w:r>
      <w:r w:rsidR="00132157">
        <w:rPr>
          <w:rFonts w:ascii="Arial" w:hAnsi="Arial" w:cs="Arial"/>
          <w:b/>
          <w:sz w:val="32"/>
          <w:szCs w:val="32"/>
        </w:rPr>
        <w:t xml:space="preserve"> New</w:t>
      </w:r>
    </w:p>
    <w:p w14:paraId="44EDBE38" w14:textId="4623B718" w:rsidR="009A3B7E" w:rsidRPr="00967B3E" w:rsidRDefault="009A3B7E">
      <w:pPr>
        <w:rPr>
          <w:rFonts w:ascii="Arial" w:hAnsi="Arial" w:cs="Arial"/>
          <w:b/>
          <w:sz w:val="32"/>
          <w:szCs w:val="32"/>
        </w:rPr>
      </w:pPr>
      <w:r>
        <w:rPr>
          <w:rFonts w:ascii="Arial" w:hAnsi="Arial" w:cs="Arial"/>
          <w:b/>
          <w:sz w:val="32"/>
          <w:szCs w:val="32"/>
        </w:rPr>
        <w:t>Mississippi River Watershed Report Card</w:t>
      </w:r>
    </w:p>
    <w:p w14:paraId="3CBC05DD" w14:textId="77777777" w:rsidR="00967B3E" w:rsidRDefault="00967B3E">
      <w:pPr>
        <w:rPr>
          <w:rFonts w:ascii="Arial" w:hAnsi="Arial" w:cs="Arial"/>
          <w:sz w:val="22"/>
          <w:szCs w:val="22"/>
        </w:rPr>
      </w:pPr>
    </w:p>
    <w:p w14:paraId="142F5E8B" w14:textId="56EF16A9" w:rsidR="00622029" w:rsidRPr="00DF00BB" w:rsidRDefault="00622029">
      <w:pPr>
        <w:rPr>
          <w:rFonts w:ascii="Arial" w:hAnsi="Arial" w:cs="Arial"/>
          <w:sz w:val="22"/>
          <w:szCs w:val="22"/>
        </w:rPr>
      </w:pPr>
      <w:r w:rsidRPr="00DF00BB">
        <w:rPr>
          <w:rFonts w:ascii="Arial" w:hAnsi="Arial" w:cs="Arial"/>
          <w:sz w:val="22"/>
          <w:szCs w:val="22"/>
        </w:rPr>
        <w:t xml:space="preserve">The newly released </w:t>
      </w:r>
      <w:hyperlink r:id="rId5" w:history="1">
        <w:r w:rsidRPr="00DF00BB">
          <w:rPr>
            <w:rStyle w:val="Hyperlink"/>
            <w:rFonts w:ascii="Arial" w:hAnsi="Arial" w:cs="Arial"/>
            <w:sz w:val="22"/>
            <w:szCs w:val="22"/>
          </w:rPr>
          <w:t>Report Card</w:t>
        </w:r>
      </w:hyperlink>
      <w:r w:rsidRPr="00DF00BB">
        <w:rPr>
          <w:rFonts w:ascii="Arial" w:hAnsi="Arial" w:cs="Arial"/>
          <w:sz w:val="22"/>
          <w:szCs w:val="22"/>
        </w:rPr>
        <w:t xml:space="preserve"> produced by </w:t>
      </w:r>
      <w:hyperlink r:id="rId6" w:history="1">
        <w:r w:rsidRPr="00DF00BB">
          <w:rPr>
            <w:rStyle w:val="Hyperlink"/>
            <w:rFonts w:ascii="Arial" w:hAnsi="Arial" w:cs="Arial"/>
            <w:sz w:val="22"/>
            <w:szCs w:val="22"/>
          </w:rPr>
          <w:t>America’s Watershed Initiative</w:t>
        </w:r>
      </w:hyperlink>
      <w:r w:rsidRPr="00DF00BB">
        <w:rPr>
          <w:rFonts w:ascii="Arial" w:hAnsi="Arial" w:cs="Arial"/>
          <w:sz w:val="22"/>
          <w:szCs w:val="22"/>
        </w:rPr>
        <w:t xml:space="preserve"> (AWI) includes key information about </w:t>
      </w:r>
      <w:r w:rsidR="00661C8A" w:rsidRPr="00DF00BB">
        <w:rPr>
          <w:rFonts w:ascii="Arial" w:hAnsi="Arial" w:cs="Arial"/>
          <w:sz w:val="22"/>
          <w:szCs w:val="22"/>
        </w:rPr>
        <w:t>the ecosystems</w:t>
      </w:r>
      <w:r w:rsidRPr="00DF00BB">
        <w:rPr>
          <w:rFonts w:ascii="Arial" w:hAnsi="Arial" w:cs="Arial"/>
          <w:sz w:val="22"/>
          <w:szCs w:val="22"/>
        </w:rPr>
        <w:t xml:space="preserve"> in the 31-state Mississippi Watershed</w:t>
      </w:r>
      <w:r w:rsidR="00132157" w:rsidRPr="00DF00BB">
        <w:rPr>
          <w:rFonts w:ascii="Arial" w:hAnsi="Arial" w:cs="Arial"/>
          <w:sz w:val="22"/>
          <w:szCs w:val="22"/>
        </w:rPr>
        <w:t xml:space="preserve">. The AWI goal </w:t>
      </w:r>
      <w:r w:rsidR="00661C8A" w:rsidRPr="00DF00BB">
        <w:rPr>
          <w:rFonts w:ascii="Arial" w:hAnsi="Arial" w:cs="Arial"/>
          <w:sz w:val="22"/>
          <w:szCs w:val="22"/>
        </w:rPr>
        <w:t xml:space="preserve">for </w:t>
      </w:r>
      <w:r w:rsidR="00132157" w:rsidRPr="00DF00BB">
        <w:rPr>
          <w:rFonts w:ascii="Arial" w:hAnsi="Arial" w:cs="Arial"/>
          <w:sz w:val="22"/>
          <w:szCs w:val="22"/>
        </w:rPr>
        <w:t xml:space="preserve">the Mississippi River Watershed, or America’s Watershed, </w:t>
      </w:r>
      <w:r w:rsidR="00661C8A" w:rsidRPr="00DF00BB">
        <w:rPr>
          <w:rFonts w:ascii="Arial" w:hAnsi="Arial" w:cs="Arial"/>
          <w:sz w:val="22"/>
          <w:szCs w:val="22"/>
        </w:rPr>
        <w:t xml:space="preserve">is to conserve, enhance and restore ecosystems within the watershed to support natural habitats and the fish and wildlife resources that depend on them. </w:t>
      </w:r>
    </w:p>
    <w:p w14:paraId="67DDCEA4" w14:textId="77777777" w:rsidR="00622029" w:rsidRPr="00DF00BB" w:rsidRDefault="00622029">
      <w:pPr>
        <w:rPr>
          <w:rFonts w:ascii="Arial" w:hAnsi="Arial" w:cs="Arial"/>
          <w:sz w:val="22"/>
          <w:szCs w:val="22"/>
        </w:rPr>
      </w:pPr>
    </w:p>
    <w:p w14:paraId="2D454636" w14:textId="77777777" w:rsidR="00661C8A" w:rsidRPr="00DF00BB" w:rsidRDefault="00661C8A" w:rsidP="00661C8A">
      <w:pPr>
        <w:rPr>
          <w:rFonts w:ascii="Arial" w:hAnsi="Arial" w:cs="Arial"/>
          <w:sz w:val="22"/>
          <w:szCs w:val="22"/>
        </w:rPr>
      </w:pPr>
      <w:r w:rsidRPr="00DF00BB">
        <w:rPr>
          <w:rFonts w:ascii="Arial" w:hAnsi="Arial" w:cs="Arial"/>
          <w:sz w:val="22"/>
          <w:szCs w:val="22"/>
        </w:rPr>
        <w:t xml:space="preserve">Healthy and productive ecosystems provide abundant fish, wildlife and vegetation, which in turn offer services and products to society, including clean water, flood risk reduction, food, recreation jobs, and income. Maintaining healthy ecosystems depends on natural processes that support natural habitats and abundant native fish and wildlife resources. </w:t>
      </w:r>
    </w:p>
    <w:p w14:paraId="362AE55D" w14:textId="77777777" w:rsidR="00F27BDF" w:rsidRPr="00DF00BB" w:rsidRDefault="00F27BDF">
      <w:pPr>
        <w:rPr>
          <w:rFonts w:ascii="Arial" w:hAnsi="Arial" w:cs="Arial"/>
          <w:sz w:val="22"/>
          <w:szCs w:val="22"/>
        </w:rPr>
      </w:pPr>
    </w:p>
    <w:p w14:paraId="55A33FE9" w14:textId="61A07A46" w:rsidR="00661C8A" w:rsidRPr="00DF00BB" w:rsidRDefault="00880B2C" w:rsidP="00661C8A">
      <w:pPr>
        <w:widowControl w:val="0"/>
        <w:autoSpaceDE w:val="0"/>
        <w:autoSpaceDN w:val="0"/>
        <w:adjustRightInd w:val="0"/>
        <w:rPr>
          <w:rFonts w:ascii="Arial" w:hAnsi="Arial" w:cs="Arial"/>
          <w:sz w:val="22"/>
          <w:szCs w:val="22"/>
        </w:rPr>
      </w:pPr>
      <w:r>
        <w:rPr>
          <w:rFonts w:ascii="Arial" w:hAnsi="Arial" w:cs="Arial"/>
          <w:sz w:val="22"/>
          <w:szCs w:val="22"/>
        </w:rPr>
        <w:t>The w</w:t>
      </w:r>
      <w:r w:rsidR="00661C8A" w:rsidRPr="00DF00BB">
        <w:rPr>
          <w:rFonts w:ascii="Arial" w:hAnsi="Arial" w:cs="Arial"/>
          <w:sz w:val="22"/>
          <w:szCs w:val="22"/>
        </w:rPr>
        <w:t>atershed recei</w:t>
      </w:r>
      <w:r w:rsidR="00C329D8">
        <w:rPr>
          <w:rFonts w:ascii="Arial" w:hAnsi="Arial" w:cs="Arial"/>
          <w:sz w:val="22"/>
          <w:szCs w:val="22"/>
        </w:rPr>
        <w:t xml:space="preserve">ved a C grade for Ecosystems. </w:t>
      </w:r>
      <w:r w:rsidR="00661C8A" w:rsidRPr="00DF00BB">
        <w:rPr>
          <w:rFonts w:ascii="Arial" w:hAnsi="Arial" w:cs="Arial"/>
          <w:sz w:val="22"/>
          <w:szCs w:val="22"/>
        </w:rPr>
        <w:t>The grades for Ecosystem varied more across the basins than for any other goal, with some basins showing very positive results while others face significant challenges. The industrialized eastern portion of the watershed and the Lower Mississippi River show the greatest threats to natural areas. Poor water quality is a result of high nutrient runoff from agriculture and industry and is a major cause of low oxygen in the waters of the northern Gulf of Mexico.</w:t>
      </w:r>
    </w:p>
    <w:p w14:paraId="49551F3F" w14:textId="77777777" w:rsidR="00622029" w:rsidRPr="00DF00BB" w:rsidRDefault="00622029" w:rsidP="00622029">
      <w:pPr>
        <w:widowControl w:val="0"/>
        <w:autoSpaceDE w:val="0"/>
        <w:autoSpaceDN w:val="0"/>
        <w:adjustRightInd w:val="0"/>
        <w:rPr>
          <w:rFonts w:ascii="Arial" w:hAnsi="Arial" w:cs="Arial"/>
          <w:sz w:val="22"/>
          <w:szCs w:val="22"/>
        </w:rPr>
      </w:pPr>
    </w:p>
    <w:p w14:paraId="498B20B1" w14:textId="647FC1EB" w:rsidR="00F27BDF" w:rsidRPr="00DF00BB" w:rsidRDefault="00622029" w:rsidP="00F27BDF">
      <w:pPr>
        <w:widowControl w:val="0"/>
        <w:autoSpaceDE w:val="0"/>
        <w:autoSpaceDN w:val="0"/>
        <w:adjustRightInd w:val="0"/>
        <w:rPr>
          <w:rFonts w:ascii="Arial" w:hAnsi="Arial" w:cs="Arial"/>
          <w:bCs/>
          <w:sz w:val="22"/>
          <w:szCs w:val="22"/>
        </w:rPr>
      </w:pPr>
      <w:r w:rsidRPr="00DF00BB">
        <w:rPr>
          <w:rFonts w:ascii="Arial" w:hAnsi="Arial" w:cs="Arial"/>
          <w:bCs/>
          <w:sz w:val="22"/>
          <w:szCs w:val="22"/>
        </w:rPr>
        <w:t xml:space="preserve">The complete analysis for </w:t>
      </w:r>
      <w:r w:rsidR="00661C8A" w:rsidRPr="00DF00BB">
        <w:rPr>
          <w:rFonts w:ascii="Arial" w:hAnsi="Arial" w:cs="Arial"/>
          <w:bCs/>
          <w:sz w:val="22"/>
          <w:szCs w:val="22"/>
        </w:rPr>
        <w:t>ecosystems</w:t>
      </w:r>
      <w:r w:rsidRPr="00DF00BB">
        <w:rPr>
          <w:rFonts w:ascii="Arial" w:hAnsi="Arial" w:cs="Arial"/>
          <w:bCs/>
          <w:sz w:val="22"/>
          <w:szCs w:val="22"/>
        </w:rPr>
        <w:t xml:space="preserve"> in the Report Card—along with information about the other </w:t>
      </w:r>
      <w:r w:rsidR="00CD3F7C" w:rsidRPr="00DF00BB">
        <w:rPr>
          <w:rFonts w:ascii="Arial" w:hAnsi="Arial" w:cs="Arial"/>
          <w:bCs/>
          <w:sz w:val="22"/>
          <w:szCs w:val="22"/>
        </w:rPr>
        <w:t>five</w:t>
      </w:r>
      <w:r w:rsidRPr="00DF00BB">
        <w:rPr>
          <w:rFonts w:ascii="Arial" w:hAnsi="Arial" w:cs="Arial"/>
          <w:bCs/>
          <w:sz w:val="22"/>
          <w:szCs w:val="22"/>
        </w:rPr>
        <w:t xml:space="preserve"> goals </w:t>
      </w:r>
      <w:r w:rsidR="00132157" w:rsidRPr="00DF00BB">
        <w:rPr>
          <w:rFonts w:ascii="Arial" w:hAnsi="Arial" w:cs="Arial"/>
          <w:bCs/>
          <w:sz w:val="22"/>
          <w:szCs w:val="22"/>
        </w:rPr>
        <w:t>for</w:t>
      </w:r>
      <w:r w:rsidR="009A3B7E" w:rsidRPr="00DF00BB">
        <w:rPr>
          <w:rFonts w:ascii="Arial" w:hAnsi="Arial" w:cs="Arial"/>
          <w:bCs/>
          <w:sz w:val="22"/>
          <w:szCs w:val="22"/>
        </w:rPr>
        <w:t xml:space="preserve"> America’s Watershed—is available online at </w:t>
      </w:r>
      <w:hyperlink r:id="rId7" w:history="1">
        <w:r w:rsidR="009A3B7E" w:rsidRPr="00DF00BB">
          <w:rPr>
            <w:rStyle w:val="Hyperlink"/>
            <w:rFonts w:ascii="Arial" w:hAnsi="Arial" w:cs="Arial"/>
            <w:bCs/>
            <w:sz w:val="22"/>
            <w:szCs w:val="22"/>
          </w:rPr>
          <w:t>AmericasWatershed.org/ReportCard</w:t>
        </w:r>
      </w:hyperlink>
      <w:r w:rsidR="0036613D" w:rsidRPr="00DF00BB">
        <w:rPr>
          <w:rFonts w:ascii="Arial" w:hAnsi="Arial" w:cs="Arial"/>
          <w:bCs/>
          <w:sz w:val="22"/>
          <w:szCs w:val="22"/>
        </w:rPr>
        <w:t xml:space="preserve">. The </w:t>
      </w:r>
      <w:r w:rsidR="00880B2C">
        <w:rPr>
          <w:rFonts w:ascii="Arial" w:hAnsi="Arial" w:cs="Arial"/>
          <w:bCs/>
          <w:sz w:val="22"/>
          <w:szCs w:val="22"/>
        </w:rPr>
        <w:t xml:space="preserve">online </w:t>
      </w:r>
      <w:r w:rsidR="0036613D" w:rsidRPr="00DF00BB">
        <w:rPr>
          <w:rFonts w:ascii="Arial" w:hAnsi="Arial" w:cs="Arial"/>
          <w:bCs/>
          <w:sz w:val="22"/>
          <w:szCs w:val="22"/>
        </w:rPr>
        <w:t xml:space="preserve">information about </w:t>
      </w:r>
      <w:r w:rsidR="00DF00BB" w:rsidRPr="00DF00BB">
        <w:rPr>
          <w:rFonts w:ascii="Arial" w:hAnsi="Arial" w:cs="Arial"/>
          <w:bCs/>
          <w:sz w:val="22"/>
          <w:szCs w:val="22"/>
        </w:rPr>
        <w:t>ecosystems</w:t>
      </w:r>
      <w:r w:rsidR="0036613D" w:rsidRPr="00DF00BB">
        <w:rPr>
          <w:rFonts w:ascii="Arial" w:hAnsi="Arial" w:cs="Arial"/>
          <w:bCs/>
          <w:sz w:val="22"/>
          <w:szCs w:val="22"/>
        </w:rPr>
        <w:t xml:space="preserve"> includes grades for each of the five sub-basins within the Mississippi River Watershed as well as what was measured and how it was evaluated. </w:t>
      </w:r>
    </w:p>
    <w:p w14:paraId="1FE6B191" w14:textId="77777777" w:rsidR="009F4ABA" w:rsidRDefault="009F4ABA" w:rsidP="009150E3">
      <w:pPr>
        <w:widowControl w:val="0"/>
        <w:autoSpaceDE w:val="0"/>
        <w:autoSpaceDN w:val="0"/>
        <w:adjustRightInd w:val="0"/>
        <w:rPr>
          <w:rFonts w:ascii="Arial" w:hAnsi="Arial" w:cs="Arial"/>
          <w:color w:val="2E2E2F"/>
          <w:sz w:val="22"/>
          <w:szCs w:val="22"/>
        </w:rPr>
      </w:pPr>
    </w:p>
    <w:p w14:paraId="7036C843" w14:textId="00ADA236" w:rsidR="009F4ABA" w:rsidRDefault="009F4ABA" w:rsidP="009F4ABA">
      <w:pPr>
        <w:widowControl w:val="0"/>
        <w:autoSpaceDE w:val="0"/>
        <w:autoSpaceDN w:val="0"/>
        <w:adjustRightInd w:val="0"/>
        <w:jc w:val="center"/>
        <w:rPr>
          <w:rFonts w:ascii="Arial" w:hAnsi="Arial" w:cs="Arial"/>
          <w:color w:val="2E2E2F"/>
          <w:sz w:val="22"/>
          <w:szCs w:val="22"/>
        </w:rPr>
      </w:pPr>
      <w:r>
        <w:rPr>
          <w:rFonts w:ascii="Arial" w:hAnsi="Arial" w:cs="Arial"/>
          <w:color w:val="2E2E2F"/>
          <w:sz w:val="22"/>
          <w:szCs w:val="22"/>
        </w:rPr>
        <w:t>###</w:t>
      </w:r>
    </w:p>
    <w:p w14:paraId="61BAD2A0" w14:textId="77777777" w:rsidR="006015AA" w:rsidRDefault="006015AA" w:rsidP="009F4ABA">
      <w:pPr>
        <w:widowControl w:val="0"/>
        <w:autoSpaceDE w:val="0"/>
        <w:autoSpaceDN w:val="0"/>
        <w:adjustRightInd w:val="0"/>
        <w:jc w:val="center"/>
        <w:rPr>
          <w:rFonts w:ascii="Arial" w:hAnsi="Arial" w:cs="Arial"/>
          <w:sz w:val="22"/>
          <w:szCs w:val="22"/>
        </w:rPr>
      </w:pPr>
    </w:p>
    <w:p w14:paraId="120192E3" w14:textId="77777777" w:rsidR="006015AA" w:rsidRDefault="006015AA" w:rsidP="009F4ABA">
      <w:pPr>
        <w:widowControl w:val="0"/>
        <w:autoSpaceDE w:val="0"/>
        <w:autoSpaceDN w:val="0"/>
        <w:adjustRightInd w:val="0"/>
        <w:jc w:val="center"/>
        <w:rPr>
          <w:rFonts w:ascii="Arial" w:hAnsi="Arial" w:cs="Arial"/>
          <w:sz w:val="22"/>
          <w:szCs w:val="22"/>
        </w:rPr>
      </w:pPr>
    </w:p>
    <w:p w14:paraId="616CD592" w14:textId="77777777" w:rsidR="006015AA" w:rsidRDefault="006015AA" w:rsidP="009F4ABA">
      <w:pPr>
        <w:widowControl w:val="0"/>
        <w:autoSpaceDE w:val="0"/>
        <w:autoSpaceDN w:val="0"/>
        <w:adjustRightInd w:val="0"/>
        <w:jc w:val="center"/>
        <w:rPr>
          <w:rFonts w:ascii="Arial" w:hAnsi="Arial" w:cs="Arial"/>
          <w:sz w:val="22"/>
          <w:szCs w:val="22"/>
        </w:rPr>
      </w:pPr>
    </w:p>
    <w:p w14:paraId="274A2A57" w14:textId="77777777" w:rsidR="006015AA" w:rsidRDefault="006015AA" w:rsidP="009F4ABA">
      <w:pPr>
        <w:widowControl w:val="0"/>
        <w:autoSpaceDE w:val="0"/>
        <w:autoSpaceDN w:val="0"/>
        <w:adjustRightInd w:val="0"/>
        <w:jc w:val="center"/>
        <w:rPr>
          <w:rFonts w:ascii="Arial" w:hAnsi="Arial" w:cs="Arial"/>
          <w:sz w:val="22"/>
          <w:szCs w:val="22"/>
        </w:rPr>
      </w:pPr>
    </w:p>
    <w:p w14:paraId="63471F73" w14:textId="77777777" w:rsidR="006015AA" w:rsidRDefault="006015AA" w:rsidP="009F4ABA">
      <w:pPr>
        <w:widowControl w:val="0"/>
        <w:autoSpaceDE w:val="0"/>
        <w:autoSpaceDN w:val="0"/>
        <w:adjustRightInd w:val="0"/>
        <w:jc w:val="center"/>
        <w:rPr>
          <w:rFonts w:ascii="Arial" w:hAnsi="Arial" w:cs="Arial"/>
          <w:sz w:val="22"/>
          <w:szCs w:val="22"/>
        </w:rPr>
      </w:pPr>
    </w:p>
    <w:p w14:paraId="3A8E626F" w14:textId="77777777" w:rsidR="006015AA" w:rsidRDefault="006015AA" w:rsidP="009F4ABA">
      <w:pPr>
        <w:widowControl w:val="0"/>
        <w:autoSpaceDE w:val="0"/>
        <w:autoSpaceDN w:val="0"/>
        <w:adjustRightInd w:val="0"/>
        <w:jc w:val="center"/>
        <w:rPr>
          <w:rFonts w:ascii="Arial" w:hAnsi="Arial" w:cs="Arial"/>
          <w:sz w:val="22"/>
          <w:szCs w:val="22"/>
        </w:rPr>
      </w:pPr>
    </w:p>
    <w:p w14:paraId="03630622" w14:textId="77777777" w:rsidR="006015AA" w:rsidRDefault="006015AA" w:rsidP="009F4ABA">
      <w:pPr>
        <w:widowControl w:val="0"/>
        <w:autoSpaceDE w:val="0"/>
        <w:autoSpaceDN w:val="0"/>
        <w:adjustRightInd w:val="0"/>
        <w:jc w:val="center"/>
        <w:rPr>
          <w:rFonts w:ascii="Arial" w:hAnsi="Arial" w:cs="Arial"/>
          <w:sz w:val="22"/>
          <w:szCs w:val="22"/>
        </w:rPr>
      </w:pPr>
    </w:p>
    <w:p w14:paraId="08EEF69C" w14:textId="77777777" w:rsidR="006015AA" w:rsidRDefault="006015AA" w:rsidP="009F4ABA">
      <w:pPr>
        <w:widowControl w:val="0"/>
        <w:autoSpaceDE w:val="0"/>
        <w:autoSpaceDN w:val="0"/>
        <w:adjustRightInd w:val="0"/>
        <w:jc w:val="center"/>
        <w:rPr>
          <w:rFonts w:ascii="Arial" w:hAnsi="Arial" w:cs="Arial"/>
          <w:sz w:val="22"/>
          <w:szCs w:val="22"/>
        </w:rPr>
      </w:pPr>
    </w:p>
    <w:p w14:paraId="5277713F" w14:textId="77777777" w:rsidR="006015AA" w:rsidRDefault="006015AA" w:rsidP="009F4ABA">
      <w:pPr>
        <w:widowControl w:val="0"/>
        <w:autoSpaceDE w:val="0"/>
        <w:autoSpaceDN w:val="0"/>
        <w:adjustRightInd w:val="0"/>
        <w:jc w:val="center"/>
        <w:rPr>
          <w:rFonts w:ascii="Arial" w:hAnsi="Arial" w:cs="Arial"/>
          <w:sz w:val="22"/>
          <w:szCs w:val="22"/>
        </w:rPr>
      </w:pPr>
    </w:p>
    <w:p w14:paraId="4B406F07" w14:textId="77777777" w:rsidR="006015AA" w:rsidRDefault="006015AA" w:rsidP="009F4ABA">
      <w:pPr>
        <w:widowControl w:val="0"/>
        <w:autoSpaceDE w:val="0"/>
        <w:autoSpaceDN w:val="0"/>
        <w:adjustRightInd w:val="0"/>
        <w:jc w:val="center"/>
        <w:rPr>
          <w:rFonts w:ascii="Arial" w:hAnsi="Arial" w:cs="Arial"/>
          <w:sz w:val="22"/>
          <w:szCs w:val="22"/>
        </w:rPr>
      </w:pPr>
    </w:p>
    <w:p w14:paraId="01F04407" w14:textId="77777777" w:rsidR="006015AA" w:rsidRDefault="006015AA" w:rsidP="009F4ABA">
      <w:pPr>
        <w:widowControl w:val="0"/>
        <w:autoSpaceDE w:val="0"/>
        <w:autoSpaceDN w:val="0"/>
        <w:adjustRightInd w:val="0"/>
        <w:jc w:val="center"/>
        <w:rPr>
          <w:rFonts w:ascii="Arial" w:hAnsi="Arial" w:cs="Arial"/>
          <w:sz w:val="22"/>
          <w:szCs w:val="22"/>
        </w:rPr>
      </w:pPr>
    </w:p>
    <w:p w14:paraId="796E63E8" w14:textId="77777777" w:rsidR="006015AA" w:rsidRDefault="006015AA" w:rsidP="009F4ABA">
      <w:pPr>
        <w:widowControl w:val="0"/>
        <w:autoSpaceDE w:val="0"/>
        <w:autoSpaceDN w:val="0"/>
        <w:adjustRightInd w:val="0"/>
        <w:jc w:val="center"/>
        <w:rPr>
          <w:rFonts w:ascii="Arial" w:hAnsi="Arial" w:cs="Arial"/>
          <w:sz w:val="22"/>
          <w:szCs w:val="22"/>
        </w:rPr>
      </w:pPr>
    </w:p>
    <w:p w14:paraId="1AFBB14C" w14:textId="77777777" w:rsidR="006015AA" w:rsidRDefault="006015AA" w:rsidP="009F4ABA">
      <w:pPr>
        <w:widowControl w:val="0"/>
        <w:autoSpaceDE w:val="0"/>
        <w:autoSpaceDN w:val="0"/>
        <w:adjustRightInd w:val="0"/>
        <w:jc w:val="center"/>
        <w:rPr>
          <w:rFonts w:ascii="Arial" w:hAnsi="Arial" w:cs="Arial"/>
          <w:sz w:val="22"/>
          <w:szCs w:val="22"/>
        </w:rPr>
      </w:pPr>
    </w:p>
    <w:p w14:paraId="44CD7E4F" w14:textId="77777777" w:rsidR="006015AA" w:rsidRDefault="006015AA" w:rsidP="009F4ABA">
      <w:pPr>
        <w:widowControl w:val="0"/>
        <w:autoSpaceDE w:val="0"/>
        <w:autoSpaceDN w:val="0"/>
        <w:adjustRightInd w:val="0"/>
        <w:jc w:val="center"/>
        <w:rPr>
          <w:rFonts w:ascii="Arial" w:hAnsi="Arial" w:cs="Arial"/>
          <w:sz w:val="22"/>
          <w:szCs w:val="22"/>
        </w:rPr>
      </w:pPr>
    </w:p>
    <w:p w14:paraId="1A738467" w14:textId="77777777" w:rsidR="006015AA" w:rsidRDefault="006015AA" w:rsidP="009F4ABA">
      <w:pPr>
        <w:widowControl w:val="0"/>
        <w:autoSpaceDE w:val="0"/>
        <w:autoSpaceDN w:val="0"/>
        <w:adjustRightInd w:val="0"/>
        <w:jc w:val="center"/>
        <w:rPr>
          <w:rFonts w:ascii="Arial" w:hAnsi="Arial" w:cs="Arial"/>
          <w:sz w:val="22"/>
          <w:szCs w:val="22"/>
        </w:rPr>
      </w:pPr>
    </w:p>
    <w:p w14:paraId="5CAB25E1" w14:textId="77777777" w:rsidR="006015AA" w:rsidRDefault="006015AA" w:rsidP="009F4ABA">
      <w:pPr>
        <w:widowControl w:val="0"/>
        <w:autoSpaceDE w:val="0"/>
        <w:autoSpaceDN w:val="0"/>
        <w:adjustRightInd w:val="0"/>
        <w:jc w:val="center"/>
        <w:rPr>
          <w:rFonts w:ascii="Arial" w:hAnsi="Arial" w:cs="Arial"/>
          <w:sz w:val="22"/>
          <w:szCs w:val="22"/>
        </w:rPr>
      </w:pPr>
    </w:p>
    <w:p w14:paraId="2CD90700" w14:textId="77777777" w:rsidR="006015AA" w:rsidRDefault="006015AA" w:rsidP="009F4ABA">
      <w:pPr>
        <w:widowControl w:val="0"/>
        <w:autoSpaceDE w:val="0"/>
        <w:autoSpaceDN w:val="0"/>
        <w:adjustRightInd w:val="0"/>
        <w:jc w:val="center"/>
        <w:rPr>
          <w:rFonts w:ascii="Arial" w:hAnsi="Arial" w:cs="Arial"/>
          <w:sz w:val="22"/>
          <w:szCs w:val="22"/>
        </w:rPr>
      </w:pPr>
    </w:p>
    <w:p w14:paraId="1CEE51CF" w14:textId="13006475" w:rsidR="006015AA" w:rsidRDefault="006015AA" w:rsidP="006015AA">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111A9860" wp14:editId="4D723A36">
            <wp:extent cx="5943600" cy="3910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10965"/>
                    </a:xfrm>
                    <a:prstGeom prst="rect">
                      <a:avLst/>
                    </a:prstGeom>
                  </pic:spPr>
                </pic:pic>
              </a:graphicData>
            </a:graphic>
          </wp:inline>
        </w:drawing>
      </w:r>
    </w:p>
    <w:p w14:paraId="323010F2" w14:textId="7906D9E5" w:rsidR="006015AA" w:rsidRPr="009150E3" w:rsidRDefault="006015AA" w:rsidP="006015AA">
      <w:pPr>
        <w:widowControl w:val="0"/>
        <w:autoSpaceDE w:val="0"/>
        <w:autoSpaceDN w:val="0"/>
        <w:adjustRightInd w:val="0"/>
        <w:rPr>
          <w:rFonts w:ascii="Arial" w:hAnsi="Arial" w:cs="Arial"/>
          <w:sz w:val="22"/>
          <w:szCs w:val="22"/>
        </w:rPr>
      </w:pPr>
      <w:r>
        <w:rPr>
          <w:rFonts w:ascii="Arial" w:hAnsi="Arial" w:cs="Arial"/>
          <w:sz w:val="22"/>
          <w:szCs w:val="22"/>
        </w:rPr>
        <w:t>Credit NRCS</w:t>
      </w:r>
      <w:bookmarkStart w:id="0" w:name="_GoBack"/>
      <w:bookmarkEnd w:id="0"/>
    </w:p>
    <w:sectPr w:rsidR="006015AA" w:rsidRPr="009150E3" w:rsidSect="006015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5F"/>
    <w:rsid w:val="00132157"/>
    <w:rsid w:val="00286F23"/>
    <w:rsid w:val="00314E40"/>
    <w:rsid w:val="0036613D"/>
    <w:rsid w:val="00434B5D"/>
    <w:rsid w:val="004E7141"/>
    <w:rsid w:val="006015AA"/>
    <w:rsid w:val="00622029"/>
    <w:rsid w:val="00661C8A"/>
    <w:rsid w:val="00662548"/>
    <w:rsid w:val="00880B2C"/>
    <w:rsid w:val="009150E3"/>
    <w:rsid w:val="00966511"/>
    <w:rsid w:val="00967B3E"/>
    <w:rsid w:val="009A3B7E"/>
    <w:rsid w:val="009F4ABA"/>
    <w:rsid w:val="00AA22AD"/>
    <w:rsid w:val="00AD3E5E"/>
    <w:rsid w:val="00B3215B"/>
    <w:rsid w:val="00C329D8"/>
    <w:rsid w:val="00CD3F7C"/>
    <w:rsid w:val="00D4205F"/>
    <w:rsid w:val="00DC58A3"/>
    <w:rsid w:val="00DF00BB"/>
    <w:rsid w:val="00F2585A"/>
    <w:rsid w:val="00F27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9FE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6015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5A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6015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5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swatershed.org/reportcard" TargetMode="External"/><Relationship Id="rId6" Type="http://schemas.openxmlformats.org/officeDocument/2006/relationships/hyperlink" Target="mailto:http://americaswatershed.org/" TargetMode="External"/><Relationship Id="rId7" Type="http://schemas.openxmlformats.org/officeDocument/2006/relationships/hyperlink" Target="http://www.AmericasWatershed.org/ReportCard"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322</Words>
  <Characters>1840</Characters>
  <Application>Microsoft Macintosh Word</Application>
  <DocSecurity>0</DocSecurity>
  <Lines>15</Lines>
  <Paragraphs>4</Paragraphs>
  <ScaleCrop>false</ScaleCrop>
  <Company>TNC</Company>
  <LinksUpToDate>false</LinksUpToDate>
  <CharactersWithSpaces>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Harrod</dc:creator>
  <cp:keywords/>
  <dc:description/>
  <cp:lastModifiedBy>Jay Harrod</cp:lastModifiedBy>
  <cp:revision>6</cp:revision>
  <dcterms:created xsi:type="dcterms:W3CDTF">2015-10-01T20:04:00Z</dcterms:created>
  <dcterms:modified xsi:type="dcterms:W3CDTF">2015-10-03T14:45:00Z</dcterms:modified>
</cp:coreProperties>
</file>