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A9B2A" w14:textId="77777777" w:rsidR="00675339" w:rsidRPr="004E328A" w:rsidRDefault="00675339" w:rsidP="00675339">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xml:space="preserve">. A photo to accompany this story appears on page 2; please provide credit for this photo, which is listed below the image. </w:t>
      </w:r>
    </w:p>
    <w:p w14:paraId="7393C19E" w14:textId="77777777" w:rsidR="002C30B8" w:rsidRDefault="002C30B8">
      <w:pPr>
        <w:rPr>
          <w:rFonts w:ascii="Arial" w:hAnsi="Arial" w:cs="Arial"/>
          <w:b/>
          <w:sz w:val="32"/>
          <w:szCs w:val="32"/>
        </w:rPr>
      </w:pPr>
    </w:p>
    <w:p w14:paraId="4FCB139B" w14:textId="06F0094B" w:rsidR="00967B3E" w:rsidRDefault="00370661">
      <w:pPr>
        <w:rPr>
          <w:rFonts w:ascii="Arial" w:hAnsi="Arial" w:cs="Arial"/>
          <w:b/>
          <w:sz w:val="32"/>
          <w:szCs w:val="32"/>
        </w:rPr>
      </w:pPr>
      <w:r>
        <w:rPr>
          <w:rFonts w:ascii="Arial" w:hAnsi="Arial" w:cs="Arial"/>
          <w:b/>
          <w:sz w:val="32"/>
          <w:szCs w:val="32"/>
        </w:rPr>
        <w:t>Upper Mississippi River Basins Receives a C in</w:t>
      </w:r>
    </w:p>
    <w:p w14:paraId="44EDBE38" w14:textId="2D7D7ACE" w:rsidR="009A3B7E" w:rsidRPr="00967B3E" w:rsidRDefault="00FB35A0">
      <w:pPr>
        <w:rPr>
          <w:rFonts w:ascii="Arial" w:hAnsi="Arial" w:cs="Arial"/>
          <w:b/>
          <w:sz w:val="32"/>
          <w:szCs w:val="32"/>
        </w:rPr>
      </w:pPr>
      <w:r>
        <w:rPr>
          <w:rFonts w:ascii="Arial" w:hAnsi="Arial" w:cs="Arial"/>
          <w:b/>
          <w:sz w:val="32"/>
          <w:szCs w:val="32"/>
        </w:rPr>
        <w:t xml:space="preserve">New </w:t>
      </w:r>
      <w:r w:rsidR="009A3B7E">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76705DF1" w:rsidR="00622029" w:rsidRPr="00FB35A0" w:rsidRDefault="00622029">
      <w:pPr>
        <w:rPr>
          <w:rFonts w:ascii="Arial" w:hAnsi="Arial" w:cs="Arial"/>
          <w:sz w:val="22"/>
          <w:szCs w:val="22"/>
        </w:rPr>
      </w:pPr>
      <w:r w:rsidRPr="00FB35A0">
        <w:rPr>
          <w:rFonts w:ascii="Arial" w:hAnsi="Arial" w:cs="Arial"/>
          <w:sz w:val="22"/>
          <w:szCs w:val="22"/>
        </w:rPr>
        <w:t xml:space="preserve">The newly released </w:t>
      </w:r>
      <w:hyperlink r:id="rId5" w:history="1">
        <w:r w:rsidRPr="00FB35A0">
          <w:rPr>
            <w:rStyle w:val="Hyperlink"/>
            <w:rFonts w:ascii="Arial" w:hAnsi="Arial" w:cs="Arial"/>
            <w:sz w:val="22"/>
            <w:szCs w:val="22"/>
          </w:rPr>
          <w:t>Report Card</w:t>
        </w:r>
      </w:hyperlink>
      <w:r w:rsidRPr="00FB35A0">
        <w:rPr>
          <w:rFonts w:ascii="Arial" w:hAnsi="Arial" w:cs="Arial"/>
          <w:sz w:val="22"/>
          <w:szCs w:val="22"/>
        </w:rPr>
        <w:t xml:space="preserve"> produced by </w:t>
      </w:r>
      <w:hyperlink r:id="rId6" w:history="1">
        <w:r w:rsidRPr="00FB35A0">
          <w:rPr>
            <w:rStyle w:val="Hyperlink"/>
            <w:rFonts w:ascii="Arial" w:hAnsi="Arial" w:cs="Arial"/>
            <w:sz w:val="22"/>
            <w:szCs w:val="22"/>
          </w:rPr>
          <w:t>America’s Watershed Initiative</w:t>
        </w:r>
      </w:hyperlink>
      <w:r w:rsidRPr="00FB35A0">
        <w:rPr>
          <w:rFonts w:ascii="Arial" w:hAnsi="Arial" w:cs="Arial"/>
          <w:sz w:val="22"/>
          <w:szCs w:val="22"/>
        </w:rPr>
        <w:t xml:space="preserve"> (AWI) includes </w:t>
      </w:r>
      <w:r w:rsidR="00370661">
        <w:rPr>
          <w:rFonts w:ascii="Arial" w:hAnsi="Arial" w:cs="Arial"/>
          <w:sz w:val="22"/>
          <w:szCs w:val="22"/>
        </w:rPr>
        <w:t>specific information and grades for the five main river basins that make up the 31-state Mississippi River Watershed, including the Upper Mississippi River Basin</w:t>
      </w:r>
      <w:r w:rsidRPr="00FB35A0">
        <w:rPr>
          <w:rFonts w:ascii="Arial" w:hAnsi="Arial" w:cs="Arial"/>
          <w:sz w:val="22"/>
          <w:szCs w:val="22"/>
        </w:rPr>
        <w:t xml:space="preserve">. </w:t>
      </w:r>
      <w:r w:rsidR="00370661">
        <w:rPr>
          <w:rFonts w:ascii="Arial" w:hAnsi="Arial" w:cs="Arial"/>
          <w:sz w:val="22"/>
          <w:szCs w:val="22"/>
        </w:rPr>
        <w:t>In the Report Card, five goals for the Upper Mi</w:t>
      </w:r>
      <w:r w:rsidR="0064331B">
        <w:rPr>
          <w:rFonts w:ascii="Arial" w:hAnsi="Arial" w:cs="Arial"/>
          <w:sz w:val="22"/>
          <w:szCs w:val="22"/>
        </w:rPr>
        <w:t>ssissippi River B</w:t>
      </w:r>
      <w:r w:rsidR="00370661">
        <w:rPr>
          <w:rFonts w:ascii="Arial" w:hAnsi="Arial" w:cs="Arial"/>
          <w:sz w:val="22"/>
          <w:szCs w:val="22"/>
        </w:rPr>
        <w:t>asin are measured—water supply, flood control and risk reduction, the economy, ecosystems, recreation and transportation. Overall, the Upper Mississippi River Basin received an average grade of “C” for these six goals.</w:t>
      </w:r>
    </w:p>
    <w:p w14:paraId="67DDCEA4" w14:textId="77777777" w:rsidR="00622029" w:rsidRPr="00FB35A0" w:rsidRDefault="00622029">
      <w:pPr>
        <w:rPr>
          <w:rFonts w:ascii="Arial" w:hAnsi="Arial" w:cs="Arial"/>
          <w:sz w:val="22"/>
          <w:szCs w:val="22"/>
        </w:rPr>
      </w:pPr>
    </w:p>
    <w:p w14:paraId="7554FE1D" w14:textId="7713BB44" w:rsidR="00370661" w:rsidRPr="00370661" w:rsidRDefault="00370661" w:rsidP="00370661">
      <w:pPr>
        <w:rPr>
          <w:rFonts w:ascii="Arial" w:hAnsi="Arial" w:cs="Arial"/>
          <w:sz w:val="22"/>
          <w:szCs w:val="22"/>
        </w:rPr>
      </w:pPr>
      <w:r w:rsidRPr="00370661">
        <w:rPr>
          <w:rFonts w:ascii="Arial" w:hAnsi="Arial" w:cs="Arial"/>
          <w:sz w:val="22"/>
          <w:szCs w:val="22"/>
        </w:rPr>
        <w:t>The Upper Mississip</w:t>
      </w:r>
      <w:r w:rsidR="0064331B">
        <w:rPr>
          <w:rFonts w:ascii="Arial" w:hAnsi="Arial" w:cs="Arial"/>
          <w:sz w:val="22"/>
          <w:szCs w:val="22"/>
        </w:rPr>
        <w:t>pi River B</w:t>
      </w:r>
      <w:r w:rsidRPr="00370661">
        <w:rPr>
          <w:rFonts w:ascii="Arial" w:hAnsi="Arial" w:cs="Arial"/>
          <w:sz w:val="22"/>
          <w:szCs w:val="22"/>
        </w:rPr>
        <w:t>asin is home to approximately 30 million people with three major cities and many smaller cities and towns. Forests and lakes in the northern headwaters and highly productive agricultural land to the south dominate the landscape. An extensive series of locks and dams regulate water levels on the Mississippi River south of Minneapolis and St. Paul, Minnesota, and on the Illinois River, providing navigation on the Mississippi River and to the Great Lakes through Chicago, Illinois. Popular recreation areas</w:t>
      </w:r>
      <w:r w:rsidR="00204F31">
        <w:rPr>
          <w:rFonts w:ascii="Arial" w:hAnsi="Arial" w:cs="Arial"/>
          <w:sz w:val="22"/>
          <w:szCs w:val="22"/>
        </w:rPr>
        <w:t xml:space="preserve"> </w:t>
      </w:r>
      <w:r w:rsidR="00204F31" w:rsidRPr="00370661">
        <w:rPr>
          <w:rFonts w:ascii="Arial" w:hAnsi="Arial" w:cs="Arial"/>
          <w:sz w:val="22"/>
          <w:szCs w:val="22"/>
        </w:rPr>
        <w:t>support extensive boating, swimming, hunting and fishing</w:t>
      </w:r>
      <w:r w:rsidR="00204F31">
        <w:rPr>
          <w:rFonts w:ascii="Arial" w:hAnsi="Arial" w:cs="Arial"/>
          <w:sz w:val="22"/>
          <w:szCs w:val="22"/>
        </w:rPr>
        <w:t xml:space="preserve"> and include a 260-mile-</w:t>
      </w:r>
      <w:bookmarkStart w:id="0" w:name="_GoBack"/>
      <w:bookmarkEnd w:id="0"/>
      <w:r w:rsidRPr="00370661">
        <w:rPr>
          <w:rFonts w:ascii="Arial" w:hAnsi="Arial" w:cs="Arial"/>
          <w:sz w:val="22"/>
          <w:szCs w:val="22"/>
        </w:rPr>
        <w:t>long National Wildlife Refuge that includes parts of four states.</w:t>
      </w:r>
    </w:p>
    <w:p w14:paraId="362AE55D" w14:textId="77777777" w:rsidR="00F27BDF" w:rsidRPr="00370661" w:rsidRDefault="00F27BDF">
      <w:pPr>
        <w:rPr>
          <w:rFonts w:ascii="Arial" w:hAnsi="Arial" w:cs="Arial"/>
          <w:sz w:val="22"/>
          <w:szCs w:val="22"/>
        </w:rPr>
      </w:pPr>
    </w:p>
    <w:p w14:paraId="58A59991" w14:textId="202F3316" w:rsidR="00370661" w:rsidRPr="00370661" w:rsidRDefault="00370661" w:rsidP="00370661">
      <w:pPr>
        <w:rPr>
          <w:rFonts w:ascii="Arial" w:hAnsi="Arial" w:cs="Arial"/>
          <w:sz w:val="22"/>
          <w:szCs w:val="22"/>
        </w:rPr>
      </w:pPr>
      <w:r w:rsidRPr="00370661">
        <w:rPr>
          <w:rFonts w:ascii="Arial" w:hAnsi="Arial" w:cs="Arial"/>
          <w:sz w:val="22"/>
          <w:szCs w:val="22"/>
        </w:rPr>
        <w:t xml:space="preserve">This basin had relatively few navigation delays, a high percentage of communities that have building elevation requirements as a non-structural flood protection measure, good quality streamside habitat, relatively high hunting and fishing license sales, and relatively high water availability compared to the national average. However, the condition and maintenance of the </w:t>
      </w:r>
      <w:proofErr w:type="gramStart"/>
      <w:r w:rsidRPr="00370661">
        <w:rPr>
          <w:rFonts w:ascii="Arial" w:hAnsi="Arial" w:cs="Arial"/>
          <w:sz w:val="22"/>
          <w:szCs w:val="22"/>
        </w:rPr>
        <w:t>transportation</w:t>
      </w:r>
      <w:proofErr w:type="gramEnd"/>
      <w:r w:rsidRPr="00370661">
        <w:rPr>
          <w:rFonts w:ascii="Arial" w:hAnsi="Arial" w:cs="Arial"/>
          <w:sz w:val="22"/>
          <w:szCs w:val="22"/>
        </w:rPr>
        <w:t xml:space="preserve"> infrastructure within the basin is poor, it has seen a substantial increase in population within floodplains (relative to the population change in the state), its water quality ranks poorly, and there is a high rate of wetlands loss.  </w:t>
      </w:r>
    </w:p>
    <w:p w14:paraId="64013367" w14:textId="77777777" w:rsidR="00370661" w:rsidRPr="00370661" w:rsidRDefault="00370661" w:rsidP="00370661">
      <w:pPr>
        <w:rPr>
          <w:rFonts w:ascii="Arial" w:hAnsi="Arial" w:cs="Arial"/>
          <w:sz w:val="22"/>
          <w:szCs w:val="22"/>
        </w:rPr>
      </w:pPr>
    </w:p>
    <w:p w14:paraId="1D1DED8E" w14:textId="77777777" w:rsidR="00370661" w:rsidRPr="00370661" w:rsidRDefault="00370661" w:rsidP="00370661">
      <w:pPr>
        <w:rPr>
          <w:rFonts w:ascii="Arial" w:hAnsi="Arial" w:cs="Arial"/>
          <w:sz w:val="22"/>
          <w:szCs w:val="22"/>
        </w:rPr>
      </w:pPr>
      <w:r w:rsidRPr="00370661">
        <w:rPr>
          <w:rFonts w:ascii="Arial" w:hAnsi="Arial" w:cs="Arial"/>
          <w:sz w:val="22"/>
          <w:szCs w:val="22"/>
        </w:rPr>
        <w:t>The Upper Mississippi River Basin is located on the “wet side” of the 100</w:t>
      </w:r>
      <w:r w:rsidRPr="00370661">
        <w:rPr>
          <w:rFonts w:ascii="Arial" w:hAnsi="Arial" w:cs="Arial"/>
          <w:sz w:val="22"/>
          <w:szCs w:val="22"/>
          <w:vertAlign w:val="superscript"/>
        </w:rPr>
        <w:t>th</w:t>
      </w:r>
      <w:r w:rsidRPr="00370661">
        <w:rPr>
          <w:rFonts w:ascii="Arial" w:hAnsi="Arial" w:cs="Arial"/>
          <w:sz w:val="22"/>
          <w:szCs w:val="22"/>
        </w:rPr>
        <w:t xml:space="preserve"> meridian, which marks a shift in rainfall pattern from the wetter eastern portions of the basins and the drier western portions. The Upper Mississippi therefore has relatively low water stress compared to other areas. Intense agricultural use and large population centers, including Chicago and Minneapolis, may contribute to poor water quality results and wetland losses. </w:t>
      </w:r>
    </w:p>
    <w:p w14:paraId="49551F3F" w14:textId="77777777" w:rsidR="00622029" w:rsidRPr="00FB35A0" w:rsidRDefault="00622029" w:rsidP="00622029">
      <w:pPr>
        <w:widowControl w:val="0"/>
        <w:autoSpaceDE w:val="0"/>
        <w:autoSpaceDN w:val="0"/>
        <w:adjustRightInd w:val="0"/>
        <w:rPr>
          <w:rFonts w:ascii="Arial" w:hAnsi="Arial" w:cs="Arial"/>
          <w:sz w:val="22"/>
          <w:szCs w:val="22"/>
        </w:rPr>
      </w:pPr>
    </w:p>
    <w:p w14:paraId="498B20B1" w14:textId="540465F6" w:rsidR="00F27BDF" w:rsidRPr="00FB35A0" w:rsidRDefault="00622029" w:rsidP="00F27BDF">
      <w:pPr>
        <w:widowControl w:val="0"/>
        <w:autoSpaceDE w:val="0"/>
        <w:autoSpaceDN w:val="0"/>
        <w:adjustRightInd w:val="0"/>
        <w:rPr>
          <w:rFonts w:ascii="Arial" w:hAnsi="Arial" w:cs="Arial"/>
          <w:bCs/>
          <w:sz w:val="22"/>
          <w:szCs w:val="22"/>
        </w:rPr>
      </w:pPr>
      <w:r w:rsidRPr="00FB35A0">
        <w:rPr>
          <w:rFonts w:ascii="Arial" w:hAnsi="Arial" w:cs="Arial"/>
          <w:bCs/>
          <w:sz w:val="22"/>
          <w:szCs w:val="22"/>
        </w:rPr>
        <w:t xml:space="preserve">The complete analysis for </w:t>
      </w:r>
      <w:r w:rsidR="00FB35A0" w:rsidRPr="00FB35A0">
        <w:rPr>
          <w:rFonts w:ascii="Arial" w:hAnsi="Arial" w:cs="Arial"/>
          <w:bCs/>
          <w:sz w:val="22"/>
          <w:szCs w:val="22"/>
        </w:rPr>
        <w:t xml:space="preserve">the </w:t>
      </w:r>
      <w:r w:rsidR="005B32B1">
        <w:rPr>
          <w:rFonts w:ascii="Arial" w:hAnsi="Arial" w:cs="Arial"/>
          <w:bCs/>
          <w:sz w:val="22"/>
          <w:szCs w:val="22"/>
        </w:rPr>
        <w:t>Upper Mississippi River Basin</w:t>
      </w:r>
      <w:r w:rsidRPr="00FB35A0">
        <w:rPr>
          <w:rFonts w:ascii="Arial" w:hAnsi="Arial" w:cs="Arial"/>
          <w:bCs/>
          <w:sz w:val="22"/>
          <w:szCs w:val="22"/>
        </w:rPr>
        <w:t xml:space="preserve"> in the Report Card—along with information about the other </w:t>
      </w:r>
      <w:r w:rsidR="00370661">
        <w:rPr>
          <w:rFonts w:ascii="Arial" w:hAnsi="Arial" w:cs="Arial"/>
          <w:bCs/>
          <w:sz w:val="22"/>
          <w:szCs w:val="22"/>
        </w:rPr>
        <w:t>four basins that make up</w:t>
      </w:r>
      <w:r w:rsidRPr="00FB35A0">
        <w:rPr>
          <w:rFonts w:ascii="Arial" w:hAnsi="Arial" w:cs="Arial"/>
          <w:bCs/>
          <w:sz w:val="22"/>
          <w:szCs w:val="22"/>
        </w:rPr>
        <w:t xml:space="preserve"> </w:t>
      </w:r>
      <w:r w:rsidR="009A3B7E" w:rsidRPr="00FB35A0">
        <w:rPr>
          <w:rFonts w:ascii="Arial" w:hAnsi="Arial" w:cs="Arial"/>
          <w:bCs/>
          <w:sz w:val="22"/>
          <w:szCs w:val="22"/>
        </w:rPr>
        <w:t xml:space="preserve">America’s Watershed—is available online at </w:t>
      </w:r>
      <w:hyperlink r:id="rId7" w:history="1">
        <w:r w:rsidR="009A3B7E" w:rsidRPr="00FB35A0">
          <w:rPr>
            <w:rStyle w:val="Hyperlink"/>
            <w:rFonts w:ascii="Arial" w:hAnsi="Arial" w:cs="Arial"/>
            <w:bCs/>
            <w:sz w:val="22"/>
            <w:szCs w:val="22"/>
          </w:rPr>
          <w:t>AmericasWatershed.org/</w:t>
        </w:r>
        <w:proofErr w:type="spellStart"/>
        <w:r w:rsidR="009A3B7E" w:rsidRPr="00FB35A0">
          <w:rPr>
            <w:rStyle w:val="Hyperlink"/>
            <w:rFonts w:ascii="Arial" w:hAnsi="Arial" w:cs="Arial"/>
            <w:bCs/>
            <w:sz w:val="22"/>
            <w:szCs w:val="22"/>
          </w:rPr>
          <w:t>ReportCard</w:t>
        </w:r>
        <w:proofErr w:type="spellEnd"/>
      </w:hyperlink>
      <w:r w:rsidR="0036613D" w:rsidRPr="00FB35A0">
        <w:rPr>
          <w:rFonts w:ascii="Arial" w:hAnsi="Arial" w:cs="Arial"/>
          <w:bCs/>
          <w:sz w:val="22"/>
          <w:szCs w:val="22"/>
        </w:rPr>
        <w:t xml:space="preserve">.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1B5C78ED" w14:textId="77777777" w:rsidR="002C30B8" w:rsidRDefault="002C30B8" w:rsidP="009F4ABA">
      <w:pPr>
        <w:widowControl w:val="0"/>
        <w:autoSpaceDE w:val="0"/>
        <w:autoSpaceDN w:val="0"/>
        <w:adjustRightInd w:val="0"/>
        <w:jc w:val="center"/>
        <w:rPr>
          <w:rFonts w:ascii="Arial" w:hAnsi="Arial" w:cs="Arial"/>
          <w:sz w:val="22"/>
          <w:szCs w:val="22"/>
        </w:rPr>
      </w:pPr>
    </w:p>
    <w:p w14:paraId="149816B6" w14:textId="77777777" w:rsidR="002C30B8" w:rsidRDefault="002C30B8" w:rsidP="009F4ABA">
      <w:pPr>
        <w:widowControl w:val="0"/>
        <w:autoSpaceDE w:val="0"/>
        <w:autoSpaceDN w:val="0"/>
        <w:adjustRightInd w:val="0"/>
        <w:jc w:val="center"/>
        <w:rPr>
          <w:rFonts w:ascii="Arial" w:hAnsi="Arial" w:cs="Arial"/>
          <w:sz w:val="22"/>
          <w:szCs w:val="22"/>
        </w:rPr>
      </w:pPr>
    </w:p>
    <w:p w14:paraId="29AC0EBF" w14:textId="77777777" w:rsidR="002C30B8" w:rsidRDefault="002C30B8" w:rsidP="009F4ABA">
      <w:pPr>
        <w:widowControl w:val="0"/>
        <w:autoSpaceDE w:val="0"/>
        <w:autoSpaceDN w:val="0"/>
        <w:adjustRightInd w:val="0"/>
        <w:jc w:val="center"/>
        <w:rPr>
          <w:rFonts w:ascii="Arial" w:hAnsi="Arial" w:cs="Arial"/>
          <w:sz w:val="22"/>
          <w:szCs w:val="22"/>
        </w:rPr>
      </w:pPr>
    </w:p>
    <w:p w14:paraId="48BE8BEE" w14:textId="77777777" w:rsidR="002C30B8" w:rsidRDefault="002C30B8" w:rsidP="009F4ABA">
      <w:pPr>
        <w:widowControl w:val="0"/>
        <w:autoSpaceDE w:val="0"/>
        <w:autoSpaceDN w:val="0"/>
        <w:adjustRightInd w:val="0"/>
        <w:jc w:val="center"/>
        <w:rPr>
          <w:rFonts w:ascii="Arial" w:hAnsi="Arial" w:cs="Arial"/>
          <w:sz w:val="22"/>
          <w:szCs w:val="22"/>
        </w:rPr>
      </w:pPr>
    </w:p>
    <w:p w14:paraId="510AFB6F" w14:textId="77777777" w:rsidR="002C30B8" w:rsidRDefault="002C30B8" w:rsidP="009F4ABA">
      <w:pPr>
        <w:widowControl w:val="0"/>
        <w:autoSpaceDE w:val="0"/>
        <w:autoSpaceDN w:val="0"/>
        <w:adjustRightInd w:val="0"/>
        <w:jc w:val="center"/>
        <w:rPr>
          <w:rFonts w:ascii="Arial" w:hAnsi="Arial" w:cs="Arial"/>
          <w:sz w:val="22"/>
          <w:szCs w:val="22"/>
        </w:rPr>
      </w:pPr>
    </w:p>
    <w:p w14:paraId="2D5CA03A" w14:textId="77777777" w:rsidR="002C30B8" w:rsidRDefault="002C30B8" w:rsidP="009F4ABA">
      <w:pPr>
        <w:widowControl w:val="0"/>
        <w:autoSpaceDE w:val="0"/>
        <w:autoSpaceDN w:val="0"/>
        <w:adjustRightInd w:val="0"/>
        <w:jc w:val="center"/>
        <w:rPr>
          <w:rFonts w:ascii="Arial" w:hAnsi="Arial" w:cs="Arial"/>
          <w:sz w:val="22"/>
          <w:szCs w:val="22"/>
        </w:rPr>
      </w:pPr>
    </w:p>
    <w:p w14:paraId="557B8ECF" w14:textId="77777777" w:rsidR="002C30B8" w:rsidRDefault="002C30B8" w:rsidP="009F4ABA">
      <w:pPr>
        <w:widowControl w:val="0"/>
        <w:autoSpaceDE w:val="0"/>
        <w:autoSpaceDN w:val="0"/>
        <w:adjustRightInd w:val="0"/>
        <w:jc w:val="center"/>
        <w:rPr>
          <w:rFonts w:ascii="Arial" w:hAnsi="Arial" w:cs="Arial"/>
          <w:sz w:val="22"/>
          <w:szCs w:val="22"/>
        </w:rPr>
      </w:pPr>
    </w:p>
    <w:p w14:paraId="00228ED1" w14:textId="3C484BD5" w:rsidR="002C30B8" w:rsidRDefault="002C30B8" w:rsidP="002C30B8">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3C91F528" wp14:editId="1B9017F1">
            <wp:extent cx="5897880" cy="433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_Robert_J_Hurt.jpg"/>
                    <pic:cNvPicPr/>
                  </pic:nvPicPr>
                  <pic:blipFill>
                    <a:blip r:embed="rId8">
                      <a:extLst>
                        <a:ext uri="{28A0092B-C50C-407E-A947-70E740481C1C}">
                          <a14:useLocalDpi xmlns:a14="http://schemas.microsoft.com/office/drawing/2010/main" val="0"/>
                        </a:ext>
                      </a:extLst>
                    </a:blip>
                    <a:stretch>
                      <a:fillRect/>
                    </a:stretch>
                  </pic:blipFill>
                  <pic:spPr>
                    <a:xfrm>
                      <a:off x="0" y="0"/>
                      <a:ext cx="5897880" cy="4333875"/>
                    </a:xfrm>
                    <a:prstGeom prst="rect">
                      <a:avLst/>
                    </a:prstGeom>
                  </pic:spPr>
                </pic:pic>
              </a:graphicData>
            </a:graphic>
          </wp:inline>
        </w:drawing>
      </w:r>
    </w:p>
    <w:p w14:paraId="48CDA5D1" w14:textId="77777777" w:rsidR="002C30B8" w:rsidRDefault="002C30B8" w:rsidP="009F4ABA">
      <w:pPr>
        <w:widowControl w:val="0"/>
        <w:autoSpaceDE w:val="0"/>
        <w:autoSpaceDN w:val="0"/>
        <w:adjustRightInd w:val="0"/>
        <w:jc w:val="center"/>
        <w:rPr>
          <w:rFonts w:ascii="Arial" w:hAnsi="Arial" w:cs="Arial"/>
          <w:sz w:val="22"/>
          <w:szCs w:val="22"/>
        </w:rPr>
      </w:pPr>
    </w:p>
    <w:p w14:paraId="145F1E1E" w14:textId="01F32F41" w:rsidR="002C30B8" w:rsidRDefault="002C30B8" w:rsidP="002C30B8">
      <w:pPr>
        <w:widowControl w:val="0"/>
        <w:autoSpaceDE w:val="0"/>
        <w:autoSpaceDN w:val="0"/>
        <w:adjustRightInd w:val="0"/>
        <w:rPr>
          <w:rFonts w:ascii="Arial" w:hAnsi="Arial" w:cs="Arial"/>
          <w:sz w:val="22"/>
          <w:szCs w:val="22"/>
        </w:rPr>
      </w:pPr>
      <w:r>
        <w:rPr>
          <w:rFonts w:ascii="Arial" w:hAnsi="Arial" w:cs="Arial"/>
          <w:sz w:val="22"/>
          <w:szCs w:val="22"/>
        </w:rPr>
        <w:t>Credit Robert J. Hurt</w:t>
      </w:r>
    </w:p>
    <w:p w14:paraId="201328F0" w14:textId="77777777" w:rsidR="002C30B8" w:rsidRDefault="002C30B8" w:rsidP="009F4ABA">
      <w:pPr>
        <w:widowControl w:val="0"/>
        <w:autoSpaceDE w:val="0"/>
        <w:autoSpaceDN w:val="0"/>
        <w:adjustRightInd w:val="0"/>
        <w:jc w:val="center"/>
        <w:rPr>
          <w:rFonts w:ascii="Arial" w:hAnsi="Arial" w:cs="Arial"/>
          <w:sz w:val="22"/>
          <w:szCs w:val="22"/>
        </w:rPr>
      </w:pPr>
    </w:p>
    <w:p w14:paraId="1A162FF8" w14:textId="77777777" w:rsidR="002C30B8" w:rsidRDefault="002C30B8" w:rsidP="009F4ABA">
      <w:pPr>
        <w:widowControl w:val="0"/>
        <w:autoSpaceDE w:val="0"/>
        <w:autoSpaceDN w:val="0"/>
        <w:adjustRightInd w:val="0"/>
        <w:jc w:val="center"/>
        <w:rPr>
          <w:rFonts w:ascii="Arial" w:hAnsi="Arial" w:cs="Arial"/>
          <w:sz w:val="22"/>
          <w:szCs w:val="22"/>
        </w:rPr>
      </w:pPr>
    </w:p>
    <w:p w14:paraId="603AFA15" w14:textId="77777777" w:rsidR="002C30B8" w:rsidRPr="009150E3" w:rsidRDefault="002C30B8" w:rsidP="009F4ABA">
      <w:pPr>
        <w:widowControl w:val="0"/>
        <w:autoSpaceDE w:val="0"/>
        <w:autoSpaceDN w:val="0"/>
        <w:adjustRightInd w:val="0"/>
        <w:jc w:val="center"/>
        <w:rPr>
          <w:rFonts w:ascii="Arial" w:hAnsi="Arial" w:cs="Arial"/>
          <w:sz w:val="22"/>
          <w:szCs w:val="22"/>
        </w:rPr>
      </w:pPr>
    </w:p>
    <w:sectPr w:rsidR="002C30B8" w:rsidRPr="009150E3" w:rsidSect="002C30B8">
      <w:pgSz w:w="12240" w:h="15840"/>
      <w:pgMar w:top="1440" w:right="151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204F31"/>
    <w:rsid w:val="00286F23"/>
    <w:rsid w:val="002C30B8"/>
    <w:rsid w:val="0033788E"/>
    <w:rsid w:val="0036613D"/>
    <w:rsid w:val="00370661"/>
    <w:rsid w:val="00434B5D"/>
    <w:rsid w:val="004E7141"/>
    <w:rsid w:val="005B32B1"/>
    <w:rsid w:val="00622029"/>
    <w:rsid w:val="0064331B"/>
    <w:rsid w:val="00662548"/>
    <w:rsid w:val="00675339"/>
    <w:rsid w:val="009150E3"/>
    <w:rsid w:val="00967B3E"/>
    <w:rsid w:val="00986B41"/>
    <w:rsid w:val="009A3B7E"/>
    <w:rsid w:val="009F4ABA"/>
    <w:rsid w:val="00AA22AD"/>
    <w:rsid w:val="00AD3E5E"/>
    <w:rsid w:val="00B80311"/>
    <w:rsid w:val="00C071CF"/>
    <w:rsid w:val="00C56C84"/>
    <w:rsid w:val="00D4205F"/>
    <w:rsid w:val="00E947CE"/>
    <w:rsid w:val="00F2585A"/>
    <w:rsid w:val="00F27BDF"/>
    <w:rsid w:val="00FB35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2C30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0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2C30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30B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2607</Characters>
  <Application>Microsoft Macintosh Word</Application>
  <DocSecurity>0</DocSecurity>
  <Lines>21</Lines>
  <Paragraphs>6</Paragraphs>
  <ScaleCrop>false</ScaleCrop>
  <Company>TNC</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2</cp:revision>
  <dcterms:created xsi:type="dcterms:W3CDTF">2015-10-07T19:54:00Z</dcterms:created>
  <dcterms:modified xsi:type="dcterms:W3CDTF">2015-10-07T19:54:00Z</dcterms:modified>
</cp:coreProperties>
</file>